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E62EAC" w:rsidRPr="00E62EAC" w:rsidTr="00E62EAC">
        <w:trPr>
          <w:trHeight w:val="150"/>
        </w:trPr>
        <w:tc>
          <w:tcPr>
            <w:tcW w:w="0" w:type="auto"/>
            <w:vAlign w:val="center"/>
            <w:hideMark/>
          </w:tcPr>
          <w:tbl>
            <w:tblPr>
              <w:tblW w:w="7800" w:type="dxa"/>
              <w:jc w:val="center"/>
              <w:tblCellMar>
                <w:top w:w="75" w:type="dxa"/>
                <w:left w:w="75" w:type="dxa"/>
                <w:bottom w:w="75" w:type="dxa"/>
                <w:right w:w="75" w:type="dxa"/>
              </w:tblCellMar>
              <w:tblLook w:val="04A0"/>
            </w:tblPr>
            <w:tblGrid>
              <w:gridCol w:w="7800"/>
            </w:tblGrid>
            <w:tr w:rsidR="00E62EAC" w:rsidRPr="00E62EAC">
              <w:trPr>
                <w:jc w:val="center"/>
              </w:trPr>
              <w:tc>
                <w:tcPr>
                  <w:tcW w:w="7200" w:type="dxa"/>
                  <w:tcMar>
                    <w:top w:w="136" w:type="dxa"/>
                    <w:left w:w="82" w:type="dxa"/>
                    <w:bottom w:w="136" w:type="dxa"/>
                    <w:right w:w="75" w:type="dxa"/>
                  </w:tcMar>
                  <w:hideMark/>
                </w:tcPr>
                <w:p w:rsidR="00E62EAC" w:rsidRPr="00E62EAC" w:rsidRDefault="00E62EAC" w:rsidP="00E62EAC">
                  <w:pPr>
                    <w:widowControl/>
                    <w:jc w:val="center"/>
                    <w:rPr>
                      <w:rFonts w:ascii="Arial" w:eastAsia="宋体" w:hAnsi="Arial" w:cs="Arial"/>
                      <w:color w:val="000000"/>
                      <w:kern w:val="0"/>
                      <w:sz w:val="16"/>
                      <w:szCs w:val="16"/>
                    </w:rPr>
                  </w:pPr>
                  <w:r w:rsidRPr="00E62EAC">
                    <w:rPr>
                      <w:rFonts w:ascii="宋体" w:eastAsia="宋体" w:hAnsi="宋体" w:cs="Arial" w:hint="eastAsia"/>
                      <w:b/>
                      <w:bCs/>
                      <w:color w:val="000000"/>
                      <w:kern w:val="0"/>
                      <w:sz w:val="31"/>
                    </w:rPr>
                    <w:t>学科竞赛带动强 </w:t>
                  </w:r>
                  <w:r w:rsidRPr="00E62EAC">
                    <w:rPr>
                      <w:rFonts w:ascii="Arial" w:eastAsia="宋体" w:hAnsi="Arial" w:cs="Arial"/>
                      <w:color w:val="000000"/>
                      <w:kern w:val="0"/>
                      <w:sz w:val="16"/>
                      <w:szCs w:val="16"/>
                    </w:rPr>
                    <w:br/>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河北科技师范学院建设高水平应用型大学系列报道之一</w:t>
                  </w:r>
                </w:p>
              </w:tc>
            </w:tr>
          </w:tbl>
          <w:p w:rsidR="00E62EAC" w:rsidRPr="00E62EAC" w:rsidRDefault="00E62EAC" w:rsidP="00E62EAC">
            <w:pPr>
              <w:widowControl/>
              <w:jc w:val="center"/>
              <w:rPr>
                <w:rFonts w:ascii="Simsun" w:eastAsia="宋体" w:hAnsi="Simsun" w:cs="Arial"/>
                <w:color w:val="000000"/>
                <w:kern w:val="0"/>
                <w:sz w:val="16"/>
                <w:szCs w:val="16"/>
              </w:rPr>
            </w:pPr>
          </w:p>
        </w:tc>
      </w:tr>
      <w:tr w:rsidR="00E62EAC" w:rsidRPr="00E62EAC" w:rsidTr="00E62EAC">
        <w:trPr>
          <w:trHeight w:val="300"/>
        </w:trPr>
        <w:tc>
          <w:tcPr>
            <w:tcW w:w="0" w:type="auto"/>
            <w:vAlign w:val="center"/>
            <w:hideMark/>
          </w:tcPr>
          <w:tbl>
            <w:tblPr>
              <w:tblW w:w="0" w:type="auto"/>
              <w:jc w:val="center"/>
              <w:shd w:val="clear" w:color="auto" w:fill="EFEFEF"/>
              <w:tblCellMar>
                <w:top w:w="15" w:type="dxa"/>
                <w:left w:w="15" w:type="dxa"/>
                <w:bottom w:w="15" w:type="dxa"/>
                <w:right w:w="15" w:type="dxa"/>
              </w:tblCellMar>
              <w:tblLook w:val="04A0"/>
            </w:tblPr>
            <w:tblGrid>
              <w:gridCol w:w="36"/>
            </w:tblGrid>
            <w:tr w:rsidR="00E62EAC" w:rsidRPr="00E62EAC">
              <w:trPr>
                <w:jc w:val="center"/>
              </w:trPr>
              <w:tc>
                <w:tcPr>
                  <w:tcW w:w="0" w:type="auto"/>
                  <w:shd w:val="clear" w:color="auto" w:fill="EFEFEF"/>
                  <w:vAlign w:val="center"/>
                  <w:hideMark/>
                </w:tcPr>
                <w:p w:rsidR="00E62EAC" w:rsidRPr="00E62EAC" w:rsidRDefault="00E62EAC" w:rsidP="00E62EAC">
                  <w:pPr>
                    <w:widowControl/>
                    <w:jc w:val="left"/>
                    <w:rPr>
                      <w:rFonts w:ascii="Arial" w:eastAsia="宋体" w:hAnsi="Arial" w:cs="Arial"/>
                      <w:kern w:val="0"/>
                      <w:sz w:val="16"/>
                      <w:szCs w:val="16"/>
                    </w:rPr>
                  </w:pPr>
                </w:p>
              </w:tc>
            </w:tr>
          </w:tbl>
          <w:p w:rsidR="00E62EAC" w:rsidRPr="00E62EAC" w:rsidRDefault="00E62EAC" w:rsidP="00E62EAC">
            <w:pPr>
              <w:widowControl/>
              <w:jc w:val="center"/>
              <w:rPr>
                <w:rFonts w:ascii="Simsun" w:eastAsia="宋体" w:hAnsi="Simsun" w:cs="Arial"/>
                <w:color w:val="000000"/>
                <w:kern w:val="0"/>
                <w:sz w:val="16"/>
                <w:szCs w:val="16"/>
              </w:rPr>
            </w:pPr>
          </w:p>
        </w:tc>
      </w:tr>
      <w:tr w:rsidR="00E62EAC" w:rsidRPr="00E62EAC" w:rsidTr="00E62EAC">
        <w:trPr>
          <w:trHeight w:val="8370"/>
        </w:trPr>
        <w:tc>
          <w:tcPr>
            <w:tcW w:w="0" w:type="auto"/>
            <w:hideMark/>
          </w:tcPr>
          <w:tbl>
            <w:tblPr>
              <w:tblW w:w="7800" w:type="dxa"/>
              <w:tblCellMar>
                <w:left w:w="0" w:type="dxa"/>
                <w:right w:w="0" w:type="dxa"/>
              </w:tblCellMar>
              <w:tblLook w:val="04A0"/>
            </w:tblPr>
            <w:tblGrid>
              <w:gridCol w:w="7800"/>
            </w:tblGrid>
            <w:tr w:rsidR="00E62EAC" w:rsidRPr="00E62EAC">
              <w:tc>
                <w:tcPr>
                  <w:tcW w:w="0" w:type="auto"/>
                  <w:tcMar>
                    <w:top w:w="0" w:type="dxa"/>
                    <w:left w:w="136" w:type="dxa"/>
                    <w:bottom w:w="0" w:type="dxa"/>
                    <w:right w:w="408" w:type="dxa"/>
                  </w:tcMar>
                  <w:vAlign w:val="center"/>
                  <w:hideMark/>
                </w:tcPr>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通讯员</w:t>
                  </w: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唐代清</w:t>
                  </w: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董丽娟</w:t>
                  </w: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朱洪亮</w:t>
                  </w: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本报记者</w:t>
                  </w: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张宝林</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编者按</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建校</w:t>
                  </w:r>
                  <w:r w:rsidRPr="00E62EAC">
                    <w:rPr>
                      <w:rFonts w:ascii="Arial" w:eastAsia="宋体" w:hAnsi="Arial" w:cs="Arial"/>
                      <w:color w:val="000000"/>
                      <w:kern w:val="0"/>
                      <w:sz w:val="19"/>
                      <w:szCs w:val="19"/>
                    </w:rPr>
                    <w:t>75</w:t>
                  </w:r>
                  <w:r w:rsidRPr="00E62EAC">
                    <w:rPr>
                      <w:rFonts w:ascii="Arial" w:eastAsia="宋体" w:hAnsi="Arial" w:cs="Arial"/>
                      <w:color w:val="000000"/>
                      <w:kern w:val="0"/>
                      <w:sz w:val="19"/>
                      <w:szCs w:val="19"/>
                    </w:rPr>
                    <w:t>年来，河北科技师范学院坚持</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服务地方、服务三农、服务职教</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的办学特色，为国家培养了一大批综合素质高、专业基础实、实践能力强、创新意识浓、适应岗位快的中、高等职教师资和高层次应用型人才。学校是教育部全国首批职教师资培训重点建设基地、农业部现代农业技术培训基地、国家级科技特派员创业培训基地，设有研究生部和</w:t>
                  </w:r>
                  <w:r w:rsidRPr="00E62EAC">
                    <w:rPr>
                      <w:rFonts w:ascii="Arial" w:eastAsia="宋体" w:hAnsi="Arial" w:cs="Arial"/>
                      <w:color w:val="000000"/>
                      <w:kern w:val="0"/>
                      <w:sz w:val="19"/>
                      <w:szCs w:val="19"/>
                    </w:rPr>
                    <w:t>19</w:t>
                  </w:r>
                  <w:r w:rsidRPr="00E62EAC">
                    <w:rPr>
                      <w:rFonts w:ascii="Arial" w:eastAsia="宋体" w:hAnsi="Arial" w:cs="Arial"/>
                      <w:color w:val="000000"/>
                      <w:kern w:val="0"/>
                      <w:sz w:val="19"/>
                      <w:szCs w:val="19"/>
                    </w:rPr>
                    <w:t>个学院（系、部），</w:t>
                  </w:r>
                  <w:r w:rsidRPr="00E62EAC">
                    <w:rPr>
                      <w:rFonts w:ascii="Arial" w:eastAsia="宋体" w:hAnsi="Arial" w:cs="Arial"/>
                      <w:color w:val="000000"/>
                      <w:kern w:val="0"/>
                      <w:sz w:val="19"/>
                      <w:szCs w:val="19"/>
                    </w:rPr>
                    <w:t>64</w:t>
                  </w:r>
                  <w:r w:rsidRPr="00E62EAC">
                    <w:rPr>
                      <w:rFonts w:ascii="Arial" w:eastAsia="宋体" w:hAnsi="Arial" w:cs="Arial"/>
                      <w:color w:val="000000"/>
                      <w:kern w:val="0"/>
                      <w:sz w:val="19"/>
                      <w:szCs w:val="19"/>
                    </w:rPr>
                    <w:t>个本科专业，拥有</w:t>
                  </w:r>
                  <w:r w:rsidRPr="00E62EAC">
                    <w:rPr>
                      <w:rFonts w:ascii="Arial" w:eastAsia="宋体" w:hAnsi="Arial" w:cs="Arial"/>
                      <w:color w:val="000000"/>
                      <w:kern w:val="0"/>
                      <w:sz w:val="19"/>
                      <w:szCs w:val="19"/>
                    </w:rPr>
                    <w:t>21</w:t>
                  </w:r>
                  <w:r w:rsidRPr="00E62EAC">
                    <w:rPr>
                      <w:rFonts w:ascii="Arial" w:eastAsia="宋体" w:hAnsi="Arial" w:cs="Arial"/>
                      <w:color w:val="000000"/>
                      <w:kern w:val="0"/>
                      <w:sz w:val="19"/>
                      <w:szCs w:val="19"/>
                    </w:rPr>
                    <w:t>个硕士学位授权点，具有职业学校教师在职攻读硕士学位授予权。目前，面向全国</w:t>
                  </w:r>
                  <w:r w:rsidRPr="00E62EAC">
                    <w:rPr>
                      <w:rFonts w:ascii="Arial" w:eastAsia="宋体" w:hAnsi="Arial" w:cs="Arial"/>
                      <w:color w:val="000000"/>
                      <w:kern w:val="0"/>
                      <w:sz w:val="19"/>
                      <w:szCs w:val="19"/>
                    </w:rPr>
                    <w:t>26</w:t>
                  </w:r>
                  <w:r w:rsidRPr="00E62EAC">
                    <w:rPr>
                      <w:rFonts w:ascii="Arial" w:eastAsia="宋体" w:hAnsi="Arial" w:cs="Arial"/>
                      <w:color w:val="000000"/>
                      <w:kern w:val="0"/>
                      <w:sz w:val="19"/>
                      <w:szCs w:val="19"/>
                    </w:rPr>
                    <w:t>个省（市、区）招生，在校生</w:t>
                  </w:r>
                  <w:r w:rsidRPr="00E62EAC">
                    <w:rPr>
                      <w:rFonts w:ascii="Arial" w:eastAsia="宋体" w:hAnsi="Arial" w:cs="Arial"/>
                      <w:color w:val="000000"/>
                      <w:kern w:val="0"/>
                      <w:sz w:val="19"/>
                      <w:szCs w:val="19"/>
                    </w:rPr>
                    <w:t>23000</w:t>
                  </w:r>
                  <w:r w:rsidRPr="00E62EAC">
                    <w:rPr>
                      <w:rFonts w:ascii="Arial" w:eastAsia="宋体" w:hAnsi="Arial" w:cs="Arial"/>
                      <w:color w:val="000000"/>
                      <w:kern w:val="0"/>
                      <w:sz w:val="19"/>
                      <w:szCs w:val="19"/>
                    </w:rPr>
                    <w:t>人，有近</w:t>
                  </w:r>
                  <w:r w:rsidRPr="00E62EAC">
                    <w:rPr>
                      <w:rFonts w:ascii="Arial" w:eastAsia="宋体" w:hAnsi="Arial" w:cs="Arial"/>
                      <w:color w:val="000000"/>
                      <w:kern w:val="0"/>
                      <w:sz w:val="19"/>
                      <w:szCs w:val="19"/>
                    </w:rPr>
                    <w:t>30</w:t>
                  </w:r>
                  <w:r w:rsidRPr="00E62EAC">
                    <w:rPr>
                      <w:rFonts w:ascii="Arial" w:eastAsia="宋体" w:hAnsi="Arial" w:cs="Arial"/>
                      <w:color w:val="000000"/>
                      <w:kern w:val="0"/>
                      <w:sz w:val="19"/>
                      <w:szCs w:val="19"/>
                    </w:rPr>
                    <w:t>个省级重点学科、重点实验室（工程技术研究中心）实验教学示范中心和国家果蔬加工技术研发分中心、高校应用技术研发中心等，先后获国家、省级教学成果奖</w:t>
                  </w:r>
                  <w:r w:rsidRPr="00E62EAC">
                    <w:rPr>
                      <w:rFonts w:ascii="Arial" w:eastAsia="宋体" w:hAnsi="Arial" w:cs="Arial"/>
                      <w:color w:val="000000"/>
                      <w:kern w:val="0"/>
                      <w:sz w:val="19"/>
                      <w:szCs w:val="19"/>
                    </w:rPr>
                    <w:t>30</w:t>
                  </w:r>
                  <w:r w:rsidRPr="00E62EAC">
                    <w:rPr>
                      <w:rFonts w:ascii="Arial" w:eastAsia="宋体" w:hAnsi="Arial" w:cs="Arial"/>
                      <w:color w:val="000000"/>
                      <w:kern w:val="0"/>
                      <w:sz w:val="19"/>
                      <w:szCs w:val="19"/>
                    </w:rPr>
                    <w:t>多项。</w:t>
                  </w:r>
                  <w:r w:rsidRPr="00E62EAC">
                    <w:rPr>
                      <w:rFonts w:ascii="Arial" w:eastAsia="宋体" w:hAnsi="Arial" w:cs="Arial"/>
                      <w:color w:val="000000"/>
                      <w:kern w:val="0"/>
                      <w:sz w:val="19"/>
                      <w:szCs w:val="19"/>
                    </w:rPr>
                    <w:t>2015</w:t>
                  </w:r>
                  <w:r w:rsidRPr="00E62EAC">
                    <w:rPr>
                      <w:rFonts w:ascii="Arial" w:eastAsia="宋体" w:hAnsi="Arial" w:cs="Arial"/>
                      <w:color w:val="000000"/>
                      <w:kern w:val="0"/>
                      <w:sz w:val="19"/>
                      <w:szCs w:val="19"/>
                    </w:rPr>
                    <w:t>年</w:t>
                  </w:r>
                  <w:r w:rsidRPr="00E62EAC">
                    <w:rPr>
                      <w:rFonts w:ascii="Arial" w:eastAsia="宋体" w:hAnsi="Arial" w:cs="Arial"/>
                      <w:color w:val="000000"/>
                      <w:kern w:val="0"/>
                      <w:sz w:val="19"/>
                      <w:szCs w:val="19"/>
                    </w:rPr>
                    <w:t>3</w:t>
                  </w:r>
                  <w:r w:rsidRPr="00E62EAC">
                    <w:rPr>
                      <w:rFonts w:ascii="Arial" w:eastAsia="宋体" w:hAnsi="Arial" w:cs="Arial"/>
                      <w:color w:val="000000"/>
                      <w:kern w:val="0"/>
                      <w:sz w:val="19"/>
                      <w:szCs w:val="19"/>
                    </w:rPr>
                    <w:t>月，被河北省确定为向应用型高校转型发展试点院校。通过转型发展，让学校焕发生机，让学生综合素质得到提高，让地方经济社会发展得到科技和人才支撑，该校从中探索出的做法和经验，值得借鉴和参考。</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几年来，河北科技师范学院以</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创造、创新、创业</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教育为理念，以应用型大学建设为动力，以培养学生成才为宗旨，通过学生参加各类学科竞赛活动，激发自主性学习、研究兴趣及潜能，丰富教学、科研、创新创业的氛围，达到以赛促赛、以赛促学、以赛促</w:t>
                  </w:r>
                  <w:proofErr w:type="gramStart"/>
                  <w:r w:rsidRPr="00E62EAC">
                    <w:rPr>
                      <w:rFonts w:ascii="Arial" w:eastAsia="宋体" w:hAnsi="Arial" w:cs="Arial"/>
                      <w:color w:val="000000"/>
                      <w:kern w:val="0"/>
                      <w:sz w:val="19"/>
                      <w:szCs w:val="19"/>
                    </w:rPr>
                    <w:t>研</w:t>
                  </w:r>
                  <w:proofErr w:type="gramEnd"/>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营造出浓厚学术氛围和良好学风的目的。先后有百余人因学科竞赛获得的优异成绩而与相关单位签订就业协议并走上工作岗位，许多学生还没有毕业就被用人单位预定。五年来毕业生就业率始终在</w:t>
                  </w:r>
                  <w:r w:rsidRPr="00E62EAC">
                    <w:rPr>
                      <w:rFonts w:ascii="Arial" w:eastAsia="宋体" w:hAnsi="Arial" w:cs="Arial"/>
                      <w:color w:val="000000"/>
                      <w:kern w:val="0"/>
                      <w:sz w:val="19"/>
                      <w:szCs w:val="19"/>
                    </w:rPr>
                    <w:t>90%</w:t>
                  </w:r>
                  <w:r w:rsidRPr="00E62EAC">
                    <w:rPr>
                      <w:rFonts w:ascii="Arial" w:eastAsia="宋体" w:hAnsi="Arial" w:cs="Arial"/>
                      <w:color w:val="000000"/>
                      <w:kern w:val="0"/>
                      <w:sz w:val="19"/>
                      <w:szCs w:val="19"/>
                    </w:rPr>
                    <w:t>以上。</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以</w:t>
                  </w:r>
                  <w:proofErr w:type="gramStart"/>
                  <w:r w:rsidRPr="00E62EAC">
                    <w:rPr>
                      <w:rFonts w:ascii="Arial" w:eastAsia="宋体" w:hAnsi="Arial" w:cs="Arial"/>
                      <w:color w:val="000000"/>
                      <w:kern w:val="0"/>
                      <w:sz w:val="19"/>
                      <w:szCs w:val="19"/>
                    </w:rPr>
                    <w:t>赛促赛</w:t>
                  </w:r>
                  <w:proofErr w:type="gramEnd"/>
                  <w:r w:rsidRPr="00E62EAC">
                    <w:rPr>
                      <w:rFonts w:ascii="Arial" w:eastAsia="宋体" w:hAnsi="Arial" w:cs="Arial"/>
                      <w:color w:val="000000"/>
                      <w:kern w:val="0"/>
                      <w:sz w:val="19"/>
                      <w:szCs w:val="19"/>
                    </w:rPr>
                    <w:t>——</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学科竞赛成常态</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在应用型大学建设中，学校之所以高度重视学科竞赛，是因为通过组织学生参与竞赛，不但可以培养学生的创新精神和实践动手能力，还可以形成一种浓厚的专业学习氛围，形成良好的学风。获奖固然重要，但参与比获奖更重要，学校通过构建有学科专业特色的竞赛机制，带动学校的教育创新和应用型人才培养。</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河北科技师范学院王同坤校长感触颇深。</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近年来，为充分发挥多学科相互渗透的特点，河北科技师院出台了完善学科竞赛的激励机制，推行</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一院（系）一主赛</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制度，采取有效措施积极支持学生参与学科竞赛，以学科竞赛带动创新人才培养。一方面，加大了对组织院（系）和师生的个人奖励，对于获奖的指导教师除物质奖励外，在职称晋升、评优等方面给予政策倾斜；获奖学生可依据学校奖励办法或培养方案规定要求，可申请相应奖励学分或</w:t>
                  </w:r>
                  <w:proofErr w:type="gramStart"/>
                  <w:r w:rsidRPr="00E62EAC">
                    <w:rPr>
                      <w:rFonts w:ascii="Arial" w:eastAsia="宋体" w:hAnsi="Arial" w:cs="Arial"/>
                      <w:color w:val="000000"/>
                      <w:kern w:val="0"/>
                      <w:sz w:val="19"/>
                      <w:szCs w:val="19"/>
                    </w:rPr>
                    <w:t>抵修有关</w:t>
                  </w:r>
                  <w:proofErr w:type="gramEnd"/>
                  <w:r w:rsidRPr="00E62EAC">
                    <w:rPr>
                      <w:rFonts w:ascii="Arial" w:eastAsia="宋体" w:hAnsi="Arial" w:cs="Arial"/>
                      <w:color w:val="000000"/>
                      <w:kern w:val="0"/>
                      <w:sz w:val="19"/>
                      <w:szCs w:val="19"/>
                    </w:rPr>
                    <w:t>课程。另一方</w:t>
                  </w:r>
                  <w:r w:rsidRPr="00E62EAC">
                    <w:rPr>
                      <w:rFonts w:ascii="Arial" w:eastAsia="宋体" w:hAnsi="Arial" w:cs="Arial"/>
                      <w:color w:val="000000"/>
                      <w:kern w:val="0"/>
                      <w:sz w:val="19"/>
                      <w:szCs w:val="19"/>
                    </w:rPr>
                    <w:lastRenderedPageBreak/>
                    <w:t>面，学科竞赛全面实施项目化管理，鼓励各二级院（系）结合专业特点，整合校内资源，跨学科、</w:t>
                  </w:r>
                  <w:proofErr w:type="gramStart"/>
                  <w:r w:rsidRPr="00E62EAC">
                    <w:rPr>
                      <w:rFonts w:ascii="Arial" w:eastAsia="宋体" w:hAnsi="Arial" w:cs="Arial"/>
                      <w:color w:val="000000"/>
                      <w:kern w:val="0"/>
                      <w:sz w:val="19"/>
                      <w:szCs w:val="19"/>
                    </w:rPr>
                    <w:t>垮专业</w:t>
                  </w:r>
                  <w:proofErr w:type="gramEnd"/>
                  <w:r w:rsidRPr="00E62EAC">
                    <w:rPr>
                      <w:rFonts w:ascii="Arial" w:eastAsia="宋体" w:hAnsi="Arial" w:cs="Arial"/>
                      <w:color w:val="000000"/>
                      <w:kern w:val="0"/>
                      <w:sz w:val="19"/>
                      <w:szCs w:val="19"/>
                    </w:rPr>
                    <w:t>组织各类校内学科竞赛，为省级以上学科竞赛选拔优秀选手。学校鼓励各院（系）利用不同形式和方式进行赛前集中培训，择优选拔指导教师、参赛学生。学校每年划拨的学科竞赛专项经费数额逐年增加，五年来累计投入</w:t>
                  </w:r>
                  <w:r w:rsidRPr="00E62EAC">
                    <w:rPr>
                      <w:rFonts w:ascii="Arial" w:eastAsia="宋体" w:hAnsi="Arial" w:cs="Arial"/>
                      <w:color w:val="000000"/>
                      <w:kern w:val="0"/>
                      <w:sz w:val="19"/>
                      <w:szCs w:val="19"/>
                    </w:rPr>
                    <w:t>300</w:t>
                  </w:r>
                  <w:r w:rsidRPr="00E62EAC">
                    <w:rPr>
                      <w:rFonts w:ascii="Arial" w:eastAsia="宋体" w:hAnsi="Arial" w:cs="Arial"/>
                      <w:color w:val="000000"/>
                      <w:kern w:val="0"/>
                      <w:sz w:val="19"/>
                      <w:szCs w:val="19"/>
                    </w:rPr>
                    <w:t>万元。</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以赛促学</w:t>
                  </w:r>
                  <w:r w:rsidRPr="00E62EAC">
                    <w:rPr>
                      <w:rFonts w:ascii="Arial" w:eastAsia="宋体" w:hAnsi="Arial" w:cs="Arial"/>
                      <w:color w:val="000000"/>
                      <w:kern w:val="0"/>
                      <w:sz w:val="19"/>
                      <w:szCs w:val="19"/>
                    </w:rPr>
                    <w:t>——</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全校本科专业全覆盖</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为了把学科竞赛与培养应用型人才的办学定位融为一体，学校</w:t>
                  </w:r>
                  <w:proofErr w:type="gramStart"/>
                  <w:r w:rsidRPr="00E62EAC">
                    <w:rPr>
                      <w:rFonts w:ascii="Arial" w:eastAsia="宋体" w:hAnsi="Arial" w:cs="Arial"/>
                      <w:color w:val="000000"/>
                      <w:kern w:val="0"/>
                      <w:sz w:val="19"/>
                      <w:szCs w:val="19"/>
                    </w:rPr>
                    <w:t>践行</w:t>
                  </w:r>
                  <w:proofErr w:type="gramEnd"/>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敏学修身，乐业创新</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的校训精神，坚持以竞赛促学业，用成绩激励成才，使校园竞赛活动蔚成风气。目前，全校已有</w:t>
                  </w:r>
                  <w:r w:rsidRPr="00E62EAC">
                    <w:rPr>
                      <w:rFonts w:ascii="Arial" w:eastAsia="宋体" w:hAnsi="Arial" w:cs="Arial"/>
                      <w:color w:val="000000"/>
                      <w:kern w:val="0"/>
                      <w:sz w:val="19"/>
                      <w:szCs w:val="19"/>
                    </w:rPr>
                    <w:t>13</w:t>
                  </w:r>
                  <w:r w:rsidRPr="00E62EAC">
                    <w:rPr>
                      <w:rFonts w:ascii="Arial" w:eastAsia="宋体" w:hAnsi="Arial" w:cs="Arial"/>
                      <w:color w:val="000000"/>
                      <w:kern w:val="0"/>
                      <w:sz w:val="19"/>
                      <w:szCs w:val="19"/>
                    </w:rPr>
                    <w:t>个院（系）形成了相对稳定的竞赛指导教师团队，使学科竞赛成为学生第二课堂的常规项目，参加学科竞赛项目实现了全校</w:t>
                  </w:r>
                  <w:r w:rsidRPr="00E62EAC">
                    <w:rPr>
                      <w:rFonts w:ascii="Arial" w:eastAsia="宋体" w:hAnsi="Arial" w:cs="Arial"/>
                      <w:color w:val="000000"/>
                      <w:kern w:val="0"/>
                      <w:sz w:val="19"/>
                      <w:szCs w:val="19"/>
                    </w:rPr>
                    <w:t>64</w:t>
                  </w:r>
                  <w:r w:rsidRPr="00E62EAC">
                    <w:rPr>
                      <w:rFonts w:ascii="Arial" w:eastAsia="宋体" w:hAnsi="Arial" w:cs="Arial"/>
                      <w:color w:val="000000"/>
                      <w:kern w:val="0"/>
                      <w:sz w:val="19"/>
                      <w:szCs w:val="19"/>
                    </w:rPr>
                    <w:t>个本科专业全覆盖，</w:t>
                  </w:r>
                  <w:r w:rsidRPr="00E62EAC">
                    <w:rPr>
                      <w:rFonts w:ascii="Arial" w:eastAsia="宋体" w:hAnsi="Arial" w:cs="Arial"/>
                      <w:color w:val="000000"/>
                      <w:kern w:val="0"/>
                      <w:sz w:val="19"/>
                      <w:szCs w:val="19"/>
                    </w:rPr>
                    <w:t>20%</w:t>
                  </w:r>
                  <w:r w:rsidRPr="00E62EAC">
                    <w:rPr>
                      <w:rFonts w:ascii="Arial" w:eastAsia="宋体" w:hAnsi="Arial" w:cs="Arial"/>
                      <w:color w:val="000000"/>
                      <w:kern w:val="0"/>
                      <w:sz w:val="19"/>
                      <w:szCs w:val="19"/>
                    </w:rPr>
                    <w:t>的学生参与到竞赛中来。</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该校品牌竞赛项目全国大学生数学建模竞赛，近五年报名参赛学生达</w:t>
                  </w:r>
                  <w:r w:rsidRPr="00E62EAC">
                    <w:rPr>
                      <w:rFonts w:ascii="Arial" w:eastAsia="宋体" w:hAnsi="Arial" w:cs="Arial"/>
                      <w:color w:val="000000"/>
                      <w:kern w:val="0"/>
                      <w:sz w:val="19"/>
                      <w:szCs w:val="19"/>
                    </w:rPr>
                    <w:t>2000</w:t>
                  </w:r>
                  <w:r w:rsidRPr="00E62EAC">
                    <w:rPr>
                      <w:rFonts w:ascii="Arial" w:eastAsia="宋体" w:hAnsi="Arial" w:cs="Arial"/>
                      <w:color w:val="000000"/>
                      <w:kern w:val="0"/>
                      <w:sz w:val="19"/>
                      <w:szCs w:val="19"/>
                    </w:rPr>
                    <w:t>人，</w:t>
                  </w:r>
                  <w:r w:rsidRPr="00E62EAC">
                    <w:rPr>
                      <w:rFonts w:ascii="Arial" w:eastAsia="宋体" w:hAnsi="Arial" w:cs="Arial"/>
                      <w:color w:val="000000"/>
                      <w:kern w:val="0"/>
                      <w:sz w:val="19"/>
                      <w:szCs w:val="19"/>
                    </w:rPr>
                    <w:t>270</w:t>
                  </w:r>
                  <w:r w:rsidRPr="00E62EAC">
                    <w:rPr>
                      <w:rFonts w:ascii="Arial" w:eastAsia="宋体" w:hAnsi="Arial" w:cs="Arial"/>
                      <w:color w:val="000000"/>
                      <w:kern w:val="0"/>
                      <w:sz w:val="19"/>
                      <w:szCs w:val="19"/>
                    </w:rPr>
                    <w:t>人通过选拔成为正式选手，已形成了由</w:t>
                  </w:r>
                  <w:r w:rsidRPr="00E62EAC">
                    <w:rPr>
                      <w:rFonts w:ascii="Arial" w:eastAsia="宋体" w:hAnsi="Arial" w:cs="Arial"/>
                      <w:color w:val="000000"/>
                      <w:kern w:val="0"/>
                      <w:sz w:val="19"/>
                      <w:szCs w:val="19"/>
                    </w:rPr>
                    <w:t>20</w:t>
                  </w:r>
                  <w:r w:rsidRPr="00E62EAC">
                    <w:rPr>
                      <w:rFonts w:ascii="Arial" w:eastAsia="宋体" w:hAnsi="Arial" w:cs="Arial"/>
                      <w:color w:val="000000"/>
                      <w:kern w:val="0"/>
                      <w:sz w:val="19"/>
                      <w:szCs w:val="19"/>
                    </w:rPr>
                    <w:t>余位博士、硕士学位教师组成的指导师资团队的</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三大模块</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训练法：第一模块，跨专业组建学科竞赛</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实验班</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设置实际问题与专业基础理论相关的题目，为有专业兴趣和创新思想的学生搭建扩展知识的平台，将专业思想逐渐渗透到日常专业教学当中，加强竞赛项目持续半年的日常培育，并通过部分学生的引领与示范作用，带动更多学生增强专业学习兴趣。第二模块，利用寒暑假时间，根据平时积累的知识，提出问题，通过做实验、上机等实际操作，找出解决问题的方法，通过这一阶段训练，启发学生运用数学思想与方法解决实际生活中的问题。第三模块，赛前实景模拟练习。完全模拟正式比赛形式，假设题目，利用</w:t>
                  </w:r>
                  <w:r w:rsidRPr="00E62EAC">
                    <w:rPr>
                      <w:rFonts w:ascii="Arial" w:eastAsia="宋体" w:hAnsi="Arial" w:cs="Arial"/>
                      <w:color w:val="000000"/>
                      <w:kern w:val="0"/>
                      <w:sz w:val="19"/>
                      <w:szCs w:val="19"/>
                    </w:rPr>
                    <w:t>72</w:t>
                  </w:r>
                  <w:r w:rsidRPr="00E62EAC">
                    <w:rPr>
                      <w:rFonts w:ascii="Arial" w:eastAsia="宋体" w:hAnsi="Arial" w:cs="Arial"/>
                      <w:color w:val="000000"/>
                      <w:kern w:val="0"/>
                      <w:sz w:val="19"/>
                      <w:szCs w:val="19"/>
                    </w:rPr>
                    <w:t>小时做出实验，得出结论，并以专业论文的形式展示结果。涌现</w:t>
                  </w:r>
                  <w:proofErr w:type="gramStart"/>
                  <w:r w:rsidRPr="00E62EAC">
                    <w:rPr>
                      <w:rFonts w:ascii="Arial" w:eastAsia="宋体" w:hAnsi="Arial" w:cs="Arial"/>
                      <w:color w:val="000000"/>
                      <w:kern w:val="0"/>
                      <w:sz w:val="19"/>
                      <w:szCs w:val="19"/>
                    </w:rPr>
                    <w:t>出数信</w:t>
                  </w:r>
                  <w:proofErr w:type="gramEnd"/>
                  <w:r w:rsidRPr="00E62EAC">
                    <w:rPr>
                      <w:rFonts w:ascii="Arial" w:eastAsia="宋体" w:hAnsi="Arial" w:cs="Arial"/>
                      <w:color w:val="000000"/>
                      <w:kern w:val="0"/>
                      <w:sz w:val="19"/>
                      <w:szCs w:val="19"/>
                    </w:rPr>
                    <w:t>学院孙多青、孔亮等教师团队的数学建模竞赛指导团队。五年来，该校学生在各级各类学科竞赛中获奖</w:t>
                  </w:r>
                  <w:r w:rsidRPr="00E62EAC">
                    <w:rPr>
                      <w:rFonts w:ascii="Arial" w:eastAsia="宋体" w:hAnsi="Arial" w:cs="Arial"/>
                      <w:color w:val="000000"/>
                      <w:kern w:val="0"/>
                      <w:sz w:val="19"/>
                      <w:szCs w:val="19"/>
                    </w:rPr>
                    <w:t>733</w:t>
                  </w:r>
                  <w:r w:rsidRPr="00E62EAC">
                    <w:rPr>
                      <w:rFonts w:ascii="Arial" w:eastAsia="宋体" w:hAnsi="Arial" w:cs="Arial"/>
                      <w:color w:val="000000"/>
                      <w:kern w:val="0"/>
                      <w:sz w:val="19"/>
                      <w:szCs w:val="19"/>
                    </w:rPr>
                    <w:t>项，其中国家级</w:t>
                  </w:r>
                  <w:r w:rsidRPr="00E62EAC">
                    <w:rPr>
                      <w:rFonts w:ascii="Arial" w:eastAsia="宋体" w:hAnsi="Arial" w:cs="Arial"/>
                      <w:color w:val="000000"/>
                      <w:kern w:val="0"/>
                      <w:sz w:val="19"/>
                      <w:szCs w:val="19"/>
                    </w:rPr>
                    <w:t>345</w:t>
                  </w:r>
                  <w:r w:rsidRPr="00E62EAC">
                    <w:rPr>
                      <w:rFonts w:ascii="Arial" w:eastAsia="宋体" w:hAnsi="Arial" w:cs="Arial"/>
                      <w:color w:val="000000"/>
                      <w:kern w:val="0"/>
                      <w:sz w:val="19"/>
                      <w:szCs w:val="19"/>
                    </w:rPr>
                    <w:t>项、省市级</w:t>
                  </w:r>
                  <w:r w:rsidRPr="00E62EAC">
                    <w:rPr>
                      <w:rFonts w:ascii="Arial" w:eastAsia="宋体" w:hAnsi="Arial" w:cs="Arial"/>
                      <w:color w:val="000000"/>
                      <w:kern w:val="0"/>
                      <w:sz w:val="19"/>
                      <w:szCs w:val="19"/>
                    </w:rPr>
                    <w:t>388</w:t>
                  </w:r>
                  <w:r w:rsidRPr="00E62EAC">
                    <w:rPr>
                      <w:rFonts w:ascii="Arial" w:eastAsia="宋体" w:hAnsi="Arial" w:cs="Arial"/>
                      <w:color w:val="000000"/>
                      <w:kern w:val="0"/>
                      <w:sz w:val="19"/>
                      <w:szCs w:val="19"/>
                    </w:rPr>
                    <w:t>项。曾多次指导学生参加全国数学建模大赛</w:t>
                  </w:r>
                  <w:proofErr w:type="gramStart"/>
                  <w:r w:rsidRPr="00E62EAC">
                    <w:rPr>
                      <w:rFonts w:ascii="Arial" w:eastAsia="宋体" w:hAnsi="Arial" w:cs="Arial"/>
                      <w:color w:val="000000"/>
                      <w:kern w:val="0"/>
                      <w:sz w:val="19"/>
                      <w:szCs w:val="19"/>
                    </w:rPr>
                    <w:t>的数信学院</w:t>
                  </w:r>
                  <w:proofErr w:type="gramEnd"/>
                  <w:r w:rsidRPr="00E62EAC">
                    <w:rPr>
                      <w:rFonts w:ascii="Arial" w:eastAsia="宋体" w:hAnsi="Arial" w:cs="Arial"/>
                      <w:color w:val="000000"/>
                      <w:kern w:val="0"/>
                      <w:sz w:val="19"/>
                      <w:szCs w:val="19"/>
                    </w:rPr>
                    <w:t>副院长赵立强深有体会地说：</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通过学科竞赛，提高了学生学习专业知识的兴趣，激发了学生的学习潜能，带动了相关专业知识的学习，丰富了学生的专业综合素养，增强了创新思维意识，树立了锲而不舍的拼搏精神和团结协作的团队精神。</w:t>
                  </w:r>
                  <w:r w:rsidRPr="00E62EAC">
                    <w:rPr>
                      <w:rFonts w:ascii="Arial" w:eastAsia="宋体" w:hAnsi="Arial" w:cs="Arial"/>
                      <w:color w:val="000000"/>
                      <w:kern w:val="0"/>
                      <w:sz w:val="19"/>
                      <w:szCs w:val="19"/>
                    </w:rPr>
                    <w:t>”</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以</w:t>
                  </w:r>
                  <w:proofErr w:type="gramStart"/>
                  <w:r w:rsidRPr="00E62EAC">
                    <w:rPr>
                      <w:rFonts w:ascii="Arial" w:eastAsia="宋体" w:hAnsi="Arial" w:cs="Arial"/>
                      <w:color w:val="000000"/>
                      <w:kern w:val="0"/>
                      <w:sz w:val="19"/>
                      <w:szCs w:val="19"/>
                    </w:rPr>
                    <w:t>赛促创</w:t>
                  </w:r>
                  <w:r w:rsidRPr="00E62EAC">
                    <w:rPr>
                      <w:rFonts w:ascii="Arial" w:eastAsia="宋体" w:hAnsi="Arial" w:cs="Arial"/>
                      <w:color w:val="000000"/>
                      <w:kern w:val="0"/>
                      <w:sz w:val="19"/>
                      <w:szCs w:val="19"/>
                    </w:rPr>
                    <w:t>——</w:t>
                  </w:r>
                  <w:proofErr w:type="gramEnd"/>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育人质量日益提升</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目前，高校学生参加品牌竞赛项目并获奖，已成为国内大公司或企业招聘人才的</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加分项</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，在学生参加考研复试过程中，参与学科竞赛经历及获奖情况已成为被录取的重要</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筹码</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。因此，学校在加强学科竞赛管理中，不但通过学科竞赛使学生的注意力转到提高综合素质上来，还不知不觉地促进了学风建设，也有力地推动了学生就业。</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在日前举行的</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税友衡信杯</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全国税务技能大赛总决赛上，河北科技师范学院代表队在全国</w:t>
                  </w:r>
                  <w:r w:rsidRPr="00E62EAC">
                    <w:rPr>
                      <w:rFonts w:ascii="Arial" w:eastAsia="宋体" w:hAnsi="Arial" w:cs="Arial"/>
                      <w:color w:val="000000"/>
                      <w:kern w:val="0"/>
                      <w:sz w:val="19"/>
                      <w:szCs w:val="19"/>
                    </w:rPr>
                    <w:t>26</w:t>
                  </w:r>
                  <w:r w:rsidRPr="00E62EAC">
                    <w:rPr>
                      <w:rFonts w:ascii="Arial" w:eastAsia="宋体" w:hAnsi="Arial" w:cs="Arial"/>
                      <w:color w:val="000000"/>
                      <w:kern w:val="0"/>
                      <w:sz w:val="19"/>
                      <w:szCs w:val="19"/>
                    </w:rPr>
                    <w:t>个省</w:t>
                  </w:r>
                  <w:r w:rsidRPr="00E62EAC">
                    <w:rPr>
                      <w:rFonts w:ascii="Arial" w:eastAsia="宋体" w:hAnsi="Arial" w:cs="Arial"/>
                      <w:color w:val="000000"/>
                      <w:kern w:val="0"/>
                      <w:sz w:val="19"/>
                      <w:szCs w:val="19"/>
                    </w:rPr>
                    <w:t>154</w:t>
                  </w:r>
                  <w:r w:rsidRPr="00E62EAC">
                    <w:rPr>
                      <w:rFonts w:ascii="Arial" w:eastAsia="宋体" w:hAnsi="Arial" w:cs="Arial"/>
                      <w:color w:val="000000"/>
                      <w:kern w:val="0"/>
                      <w:sz w:val="19"/>
                      <w:szCs w:val="19"/>
                    </w:rPr>
                    <w:t>所参赛高校中以排名第二的成绩获得本科组一等奖。该项赛事的承办方</w:t>
                  </w:r>
                  <w:r w:rsidRPr="00E62EAC">
                    <w:rPr>
                      <w:rFonts w:ascii="Arial" w:eastAsia="宋体" w:hAnsi="Arial" w:cs="Arial"/>
                      <w:color w:val="000000"/>
                      <w:kern w:val="0"/>
                      <w:sz w:val="19"/>
                      <w:szCs w:val="19"/>
                    </w:rPr>
                    <w:t>——</w:t>
                  </w:r>
                  <w:proofErr w:type="gramStart"/>
                  <w:r w:rsidRPr="00E62EAC">
                    <w:rPr>
                      <w:rFonts w:ascii="Arial" w:eastAsia="宋体" w:hAnsi="Arial" w:cs="Arial"/>
                      <w:color w:val="000000"/>
                      <w:kern w:val="0"/>
                      <w:sz w:val="19"/>
                      <w:szCs w:val="19"/>
                    </w:rPr>
                    <w:t>税友集团</w:t>
                  </w:r>
                  <w:proofErr w:type="gramEnd"/>
                  <w:r w:rsidRPr="00E62EAC">
                    <w:rPr>
                      <w:rFonts w:ascii="Arial" w:eastAsia="宋体" w:hAnsi="Arial" w:cs="Arial"/>
                      <w:color w:val="000000"/>
                      <w:kern w:val="0"/>
                      <w:sz w:val="19"/>
                      <w:szCs w:val="19"/>
                    </w:rPr>
                    <w:t>浙江衡信教育科技有限公司特为该校参赛的</w:t>
                  </w:r>
                  <w:r w:rsidRPr="00E62EAC">
                    <w:rPr>
                      <w:rFonts w:ascii="Arial" w:eastAsia="宋体" w:hAnsi="Arial" w:cs="Arial"/>
                      <w:color w:val="000000"/>
                      <w:kern w:val="0"/>
                      <w:sz w:val="19"/>
                      <w:szCs w:val="19"/>
                    </w:rPr>
                    <w:t>3</w:t>
                  </w:r>
                  <w:r w:rsidRPr="00E62EAC">
                    <w:rPr>
                      <w:rFonts w:ascii="Arial" w:eastAsia="宋体" w:hAnsi="Arial" w:cs="Arial"/>
                      <w:color w:val="000000"/>
                      <w:kern w:val="0"/>
                      <w:sz w:val="19"/>
                      <w:szCs w:val="19"/>
                    </w:rPr>
                    <w:t>名选手颁发了《免试录用通知书》，两年内可凭《免试录用通知书》和获奖证书到该公司办理入职手续。该校网络工程</w:t>
                  </w:r>
                  <w:r w:rsidRPr="00E62EAC">
                    <w:rPr>
                      <w:rFonts w:ascii="Arial" w:eastAsia="宋体" w:hAnsi="Arial" w:cs="Arial"/>
                      <w:color w:val="000000"/>
                      <w:kern w:val="0"/>
                      <w:sz w:val="19"/>
                      <w:szCs w:val="19"/>
                    </w:rPr>
                    <w:t>11</w:t>
                  </w:r>
                  <w:r w:rsidRPr="00E62EAC">
                    <w:rPr>
                      <w:rFonts w:ascii="Arial" w:eastAsia="宋体" w:hAnsi="Arial" w:cs="Arial"/>
                      <w:color w:val="000000"/>
                      <w:kern w:val="0"/>
                      <w:sz w:val="19"/>
                      <w:szCs w:val="19"/>
                    </w:rPr>
                    <w:t>级</w:t>
                  </w:r>
                  <w:proofErr w:type="gramStart"/>
                  <w:r w:rsidRPr="00E62EAC">
                    <w:rPr>
                      <w:rFonts w:ascii="Arial" w:eastAsia="宋体" w:hAnsi="Arial" w:cs="Arial"/>
                      <w:color w:val="000000"/>
                      <w:kern w:val="0"/>
                      <w:sz w:val="19"/>
                      <w:szCs w:val="19"/>
                    </w:rPr>
                    <w:t>赵帅顺利</w:t>
                  </w:r>
                  <w:proofErr w:type="gramEnd"/>
                  <w:r w:rsidRPr="00E62EAC">
                    <w:rPr>
                      <w:rFonts w:ascii="Arial" w:eastAsia="宋体" w:hAnsi="Arial" w:cs="Arial"/>
                      <w:color w:val="000000"/>
                      <w:kern w:val="0"/>
                      <w:sz w:val="19"/>
                      <w:szCs w:val="19"/>
                    </w:rPr>
                    <w:t>考取中国科技大学研究生，财务会计教育</w:t>
                  </w:r>
                  <w:r w:rsidRPr="00E62EAC">
                    <w:rPr>
                      <w:rFonts w:ascii="Arial" w:eastAsia="宋体" w:hAnsi="Arial" w:cs="Arial"/>
                      <w:color w:val="000000"/>
                      <w:kern w:val="0"/>
                      <w:sz w:val="19"/>
                      <w:szCs w:val="19"/>
                    </w:rPr>
                    <w:t>09</w:t>
                  </w:r>
                  <w:r w:rsidRPr="00E62EAC">
                    <w:rPr>
                      <w:rFonts w:ascii="Arial" w:eastAsia="宋体" w:hAnsi="Arial" w:cs="Arial"/>
                      <w:color w:val="000000"/>
                      <w:kern w:val="0"/>
                      <w:sz w:val="19"/>
                      <w:szCs w:val="19"/>
                    </w:rPr>
                    <w:t>级郭智超被中国矿</w:t>
                  </w:r>
                  <w:r w:rsidRPr="00E62EAC">
                    <w:rPr>
                      <w:rFonts w:ascii="Arial" w:eastAsia="宋体" w:hAnsi="Arial" w:cs="Arial"/>
                      <w:color w:val="000000"/>
                      <w:kern w:val="0"/>
                      <w:sz w:val="19"/>
                      <w:szCs w:val="19"/>
                    </w:rPr>
                    <w:lastRenderedPageBreak/>
                    <w:t>业大学录取，工商管理学院参加</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蓝桥杯</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决赛的学生比赛结束后就有企业与其签订就业协议</w:t>
                  </w:r>
                  <w:r w:rsidRPr="00E62EAC">
                    <w:rPr>
                      <w:rFonts w:ascii="Arial" w:eastAsia="宋体" w:hAnsi="Arial" w:cs="Arial"/>
                      <w:color w:val="000000"/>
                      <w:kern w:val="0"/>
                      <w:sz w:val="19"/>
                      <w:szCs w:val="19"/>
                    </w:rPr>
                    <w:t>……</w:t>
                  </w:r>
                </w:p>
                <w:p w:rsidR="00E62EAC" w:rsidRPr="00E62EAC" w:rsidRDefault="00E62EAC" w:rsidP="00E62EAC">
                  <w:pPr>
                    <w:widowControl/>
                    <w:spacing w:before="100" w:beforeAutospacing="1" w:after="100" w:afterAutospacing="1" w:line="285" w:lineRule="atLeast"/>
                    <w:ind w:firstLine="360"/>
                    <w:jc w:val="left"/>
                    <w:rPr>
                      <w:rFonts w:ascii="Arial" w:eastAsia="宋体" w:hAnsi="Arial" w:cs="Arial"/>
                      <w:color w:val="000000"/>
                      <w:kern w:val="0"/>
                      <w:sz w:val="19"/>
                      <w:szCs w:val="19"/>
                    </w:rPr>
                  </w:pPr>
                  <w:r w:rsidRPr="00E62EAC">
                    <w:rPr>
                      <w:rFonts w:ascii="Arial" w:eastAsia="宋体" w:hAnsi="Arial" w:cs="Arial"/>
                      <w:color w:val="000000"/>
                      <w:kern w:val="0"/>
                      <w:sz w:val="19"/>
                      <w:szCs w:val="19"/>
                    </w:rPr>
                    <w:t>    </w:t>
                  </w:r>
                  <w:r w:rsidRPr="00E62EAC">
                    <w:rPr>
                      <w:rFonts w:ascii="Arial" w:eastAsia="宋体" w:hAnsi="Arial" w:cs="Arial"/>
                      <w:color w:val="000000"/>
                      <w:kern w:val="0"/>
                      <w:sz w:val="19"/>
                      <w:szCs w:val="19"/>
                    </w:rPr>
                    <w:t>学科竞赛不但提高了学生的综合素质，还使教师通过指导能够促进自身业务能力不断提升。近年来，该校以指导学科竞赛为内容的教研项目达</w:t>
                  </w:r>
                  <w:r w:rsidRPr="00E62EAC">
                    <w:rPr>
                      <w:rFonts w:ascii="Arial" w:eastAsia="宋体" w:hAnsi="Arial" w:cs="Arial"/>
                      <w:color w:val="000000"/>
                      <w:kern w:val="0"/>
                      <w:sz w:val="19"/>
                      <w:szCs w:val="19"/>
                    </w:rPr>
                    <w:t>10</w:t>
                  </w:r>
                  <w:r w:rsidRPr="00E62EAC">
                    <w:rPr>
                      <w:rFonts w:ascii="Arial" w:eastAsia="宋体" w:hAnsi="Arial" w:cs="Arial"/>
                      <w:color w:val="000000"/>
                      <w:kern w:val="0"/>
                      <w:sz w:val="19"/>
                      <w:szCs w:val="19"/>
                    </w:rPr>
                    <w:t>余项。城建学院副院长李政说：</w:t>
                  </w:r>
                  <w:r w:rsidRPr="00E62EAC">
                    <w:rPr>
                      <w:rFonts w:ascii="Arial" w:eastAsia="宋体" w:hAnsi="Arial" w:cs="Arial"/>
                      <w:color w:val="000000"/>
                      <w:kern w:val="0"/>
                      <w:sz w:val="19"/>
                      <w:szCs w:val="19"/>
                    </w:rPr>
                    <w:t>“</w:t>
                  </w:r>
                  <w:r w:rsidRPr="00E62EAC">
                    <w:rPr>
                      <w:rFonts w:ascii="Arial" w:eastAsia="宋体" w:hAnsi="Arial" w:cs="Arial"/>
                      <w:color w:val="000000"/>
                      <w:kern w:val="0"/>
                      <w:sz w:val="19"/>
                      <w:szCs w:val="19"/>
                    </w:rPr>
                    <w:t>通过学科竞赛活动，教师们清楚如何更好地将专业思想渗透到日常教学活动中，如何把理论内容转化为学生真正解决实际问题的能力，谋求知识的传递与接收的最佳途径。同时，通过学科竞赛将学生的注意力转到提高综合素质上来，潜移默化地促进了学风建设，有力地推动了学生就业。</w:t>
                  </w:r>
                  <w:r w:rsidRPr="00E62EAC">
                    <w:rPr>
                      <w:rFonts w:ascii="Arial" w:eastAsia="宋体" w:hAnsi="Arial" w:cs="Arial"/>
                      <w:color w:val="000000"/>
                      <w:kern w:val="0"/>
                      <w:sz w:val="19"/>
                      <w:szCs w:val="19"/>
                    </w:rPr>
                    <w:t>”</w:t>
                  </w:r>
                </w:p>
              </w:tc>
            </w:tr>
          </w:tbl>
          <w:p w:rsidR="00E62EAC" w:rsidRPr="00E62EAC" w:rsidRDefault="00E62EAC" w:rsidP="00E62EAC">
            <w:pPr>
              <w:widowControl/>
              <w:jc w:val="left"/>
              <w:rPr>
                <w:rFonts w:ascii="Simsun" w:eastAsia="宋体" w:hAnsi="Simsun" w:cs="Arial"/>
                <w:color w:val="000000"/>
                <w:kern w:val="0"/>
                <w:sz w:val="16"/>
                <w:szCs w:val="16"/>
              </w:rPr>
            </w:pPr>
            <w:r w:rsidRPr="00E62EAC">
              <w:rPr>
                <w:rFonts w:ascii="Simsun" w:eastAsia="宋体" w:hAnsi="Simsun" w:cs="Arial"/>
                <w:color w:val="000000"/>
                <w:kern w:val="0"/>
                <w:sz w:val="16"/>
                <w:szCs w:val="16"/>
              </w:rPr>
              <w:lastRenderedPageBreak/>
              <w:br/>
            </w:r>
            <w:r w:rsidRPr="00E62EAC">
              <w:rPr>
                <w:rFonts w:ascii="Simsun" w:eastAsia="宋体" w:hAnsi="Simsun" w:cs="Arial"/>
                <w:color w:val="000000"/>
                <w:kern w:val="0"/>
                <w:sz w:val="16"/>
                <w:szCs w:val="16"/>
              </w:rPr>
              <w:br/>
            </w:r>
            <w:r w:rsidRPr="00E62EAC">
              <w:rPr>
                <w:rFonts w:ascii="Simsun" w:eastAsia="宋体" w:hAnsi="Simsun" w:cs="Arial"/>
                <w:color w:val="000000"/>
                <w:kern w:val="0"/>
                <w:sz w:val="16"/>
                <w:szCs w:val="16"/>
              </w:rPr>
              <w:br/>
              <w:t> </w:t>
            </w:r>
          </w:p>
        </w:tc>
      </w:tr>
    </w:tbl>
    <w:p w:rsidR="003155AD" w:rsidRDefault="003155AD"/>
    <w:sectPr w:rsidR="003155AD" w:rsidSect="003155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2EAC"/>
    <w:rsid w:val="003155AD"/>
    <w:rsid w:val="00E62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2EAC"/>
    <w:rPr>
      <w:b/>
      <w:bCs/>
    </w:rPr>
  </w:style>
  <w:style w:type="character" w:customStyle="1" w:styleId="apple-converted-space">
    <w:name w:val="apple-converted-space"/>
    <w:basedOn w:val="a0"/>
    <w:rsid w:val="00E62EAC"/>
  </w:style>
  <w:style w:type="paragraph" w:styleId="a4">
    <w:name w:val="Normal (Web)"/>
    <w:basedOn w:val="a"/>
    <w:uiPriority w:val="99"/>
    <w:unhideWhenUsed/>
    <w:rsid w:val="00E62E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5589490">
      <w:bodyDiv w:val="1"/>
      <w:marLeft w:val="0"/>
      <w:marRight w:val="0"/>
      <w:marTop w:val="0"/>
      <w:marBottom w:val="0"/>
      <w:divBdr>
        <w:top w:val="none" w:sz="0" w:space="0" w:color="auto"/>
        <w:left w:val="none" w:sz="0" w:space="0" w:color="auto"/>
        <w:bottom w:val="none" w:sz="0" w:space="0" w:color="auto"/>
        <w:right w:val="none" w:sz="0" w:space="0" w:color="auto"/>
      </w:divBdr>
      <w:divsChild>
        <w:div w:id="56984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2253</Characters>
  <Application>Microsoft Office Word</Application>
  <DocSecurity>0</DocSecurity>
  <Lines>18</Lines>
  <Paragraphs>5</Paragraphs>
  <ScaleCrop>false</ScaleCrop>
  <Company>iTianKong</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1</cp:revision>
  <dcterms:created xsi:type="dcterms:W3CDTF">2016-06-20T09:53:00Z</dcterms:created>
  <dcterms:modified xsi:type="dcterms:W3CDTF">2016-06-20T09:55:00Z</dcterms:modified>
</cp:coreProperties>
</file>