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C7" w:rsidRDefault="00B30BC7" w:rsidP="00B30BC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42424"/>
          <w:sz w:val="27"/>
          <w:szCs w:val="27"/>
        </w:rPr>
      </w:pPr>
      <w:r>
        <w:rPr>
          <w:rFonts w:ascii="PingFangSC-Regular" w:hAnsi="PingFangSC-Regular" w:cs="Segoe UI" w:hint="eastAsia"/>
          <w:b/>
          <w:bCs/>
          <w:color w:val="323232"/>
          <w:sz w:val="27"/>
          <w:szCs w:val="27"/>
          <w:bdr w:val="none" w:sz="0" w:space="0" w:color="auto" w:frame="1"/>
        </w:rPr>
        <w:t>河北科技师范学院精品在线开放课程参考</w:t>
      </w:r>
      <w:r>
        <w:rPr>
          <w:rFonts w:ascii="PingFangSC-Regular" w:hAnsi="PingFangSC-Regular" w:cs="Segoe UI"/>
          <w:b/>
          <w:bCs/>
          <w:color w:val="323232"/>
          <w:sz w:val="27"/>
          <w:szCs w:val="27"/>
          <w:bdr w:val="none" w:sz="0" w:space="0" w:color="auto" w:frame="1"/>
        </w:rPr>
        <w:t>标准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420"/>
        <w:gridCol w:w="7193"/>
      </w:tblGrid>
      <w:tr w:rsidR="00B30BC7" w:rsidTr="002635A6">
        <w:tc>
          <w:tcPr>
            <w:tcW w:w="1420" w:type="dxa"/>
            <w:vMerge w:val="restart"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242424"/>
                <w:sz w:val="27"/>
                <w:szCs w:val="27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教学计划与教学设计（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20%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）</w:t>
            </w:r>
          </w:p>
          <w:p w:rsidR="00B30BC7" w:rsidRDefault="00B30BC7" w:rsidP="002635A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Segoe UI" w:hAnsi="Segoe UI" w:cs="Segoe UI"/>
                <w:color w:val="242424"/>
                <w:sz w:val="27"/>
                <w:szCs w:val="27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教学目标明确、思路清晰，在线教学计划安排合理，学生能够明确了解如何开展学习。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10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/>
          </w:tcPr>
          <w:p w:rsidR="00B30BC7" w:rsidRDefault="00B30BC7" w:rsidP="002635A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Segoe UI" w:hAnsi="Segoe UI" w:cs="Segoe UI"/>
                <w:color w:val="242424"/>
                <w:sz w:val="27"/>
                <w:szCs w:val="27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教学设计合理，按照课程标准和课堂教学目标组织教学资源，教学方法灵活。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/>
          </w:tcPr>
          <w:p w:rsidR="00B30BC7" w:rsidRDefault="00B30BC7" w:rsidP="002635A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Segoe UI" w:hAnsi="Segoe UI" w:cs="Segoe UI"/>
                <w:color w:val="242424"/>
                <w:sz w:val="27"/>
                <w:szCs w:val="27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教学内容设计得当，能准确把握课程重点和难点，有效利用在线资源，互补性好。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 w:val="restart"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242424"/>
                <w:sz w:val="27"/>
                <w:szCs w:val="27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教学资源与内容（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20%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）</w:t>
            </w:r>
          </w:p>
          <w:p w:rsidR="00B30BC7" w:rsidRDefault="00B30BC7" w:rsidP="002635A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教案、课件、音视频等课程资源能符合课程标准，内容充实。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10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/>
          </w:tcPr>
          <w:p w:rsidR="00B30BC7" w:rsidRDefault="00B30BC7" w:rsidP="002635A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线上教学资源能较好反映或联系学科发展新思想、新概念、新成果，服务于课程目标和学业要求。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/>
          </w:tcPr>
          <w:p w:rsidR="00B30BC7" w:rsidRDefault="00B30BC7" w:rsidP="002635A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作业、测验、试题等资源丰富，能够满足平时考核需要。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 w:val="restart"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242424"/>
                <w:sz w:val="27"/>
                <w:szCs w:val="27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教学组织（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20%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）</w:t>
            </w:r>
          </w:p>
          <w:p w:rsidR="00B30BC7" w:rsidRDefault="00B30BC7" w:rsidP="002635A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教学过程安排合理，能体现在线课程特点，线上资源应用得当，方法运用灵活，启发性强，能有效启发学生思维、调动学习积极性。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在线教学的教学互动安排合理，学生参与度高，教学时间安排合理，课堂应变能力强。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随堂测验、课后作业设计与教学内容紧密联系、结构合理，教学互动与多媒体资源相配合，实时解答学生提问。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Pr="00695BE2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线上教学过程的重点突出，条理清楚，内容承前启后，循序渐进，能</w:t>
            </w:r>
            <w:proofErr w:type="gramStart"/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体现线</w:t>
            </w:r>
            <w:proofErr w:type="gramEnd"/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上教学的互动性。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 w:val="restart"/>
          </w:tcPr>
          <w:p w:rsidR="00B30BC7" w:rsidRPr="001B23C5" w:rsidRDefault="00B30BC7" w:rsidP="00263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242424"/>
                <w:sz w:val="27"/>
                <w:szCs w:val="27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教学成效（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20%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）</w:t>
            </w:r>
          </w:p>
        </w:tc>
        <w:tc>
          <w:tcPr>
            <w:tcW w:w="7193" w:type="dxa"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教师教学理念先进、风格突出、感染力强、教学效果好。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10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  <w:vMerge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7193" w:type="dxa"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学生积极参与、教学互动性强、学生能够较好地完成学习目标。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10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  <w:tr w:rsidR="00B30BC7" w:rsidTr="002635A6">
        <w:tc>
          <w:tcPr>
            <w:tcW w:w="1420" w:type="dxa"/>
          </w:tcPr>
          <w:p w:rsidR="00B30BC7" w:rsidRPr="001B23C5" w:rsidRDefault="00B30BC7" w:rsidP="002635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242424"/>
                <w:sz w:val="27"/>
                <w:szCs w:val="27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改革创新（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20%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）</w:t>
            </w:r>
          </w:p>
        </w:tc>
        <w:tc>
          <w:tcPr>
            <w:tcW w:w="7193" w:type="dxa"/>
          </w:tcPr>
          <w:p w:rsidR="00B30BC7" w:rsidRDefault="00B30BC7" w:rsidP="002635A6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能够根据线上课程的教学特点，从教学理念、教学方法、教学过程三方面着手，保证在线学习与线下课堂教学质量实质等效。</w:t>
            </w:r>
            <w:r>
              <w:rPr>
                <w:rFonts w:ascii="PingFangSC-Regular" w:hAnsi="PingFangSC-Regular" w:cs="Segoe UI" w:hint="eastAsia"/>
                <w:color w:val="323232"/>
                <w:sz w:val="27"/>
                <w:szCs w:val="27"/>
                <w:bdr w:val="none" w:sz="0" w:space="0" w:color="auto" w:frame="1"/>
              </w:rPr>
              <w:t>20</w:t>
            </w:r>
            <w:r>
              <w:rPr>
                <w:rFonts w:ascii="PingFangSC-Regular" w:hAnsi="PingFangSC-Regular" w:cs="Segoe UI"/>
                <w:color w:val="323232"/>
                <w:sz w:val="27"/>
                <w:szCs w:val="27"/>
                <w:bdr w:val="none" w:sz="0" w:space="0" w:color="auto" w:frame="1"/>
              </w:rPr>
              <w:t>分</w:t>
            </w:r>
          </w:p>
        </w:tc>
      </w:tr>
    </w:tbl>
    <w:p w:rsidR="008C0EFD" w:rsidRDefault="008C0EFD">
      <w:bookmarkStart w:id="0" w:name="_GoBack"/>
      <w:bookmarkEnd w:id="0"/>
    </w:p>
    <w:sectPr w:rsidR="008C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ingFangSC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F"/>
    <w:rsid w:val="008C0EFD"/>
    <w:rsid w:val="00B30BC7"/>
    <w:rsid w:val="00B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B30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B30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DEEPIN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2020-06-30T08:25:00Z</dcterms:created>
  <dcterms:modified xsi:type="dcterms:W3CDTF">2020-06-30T08:25:00Z</dcterms:modified>
</cp:coreProperties>
</file>